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79B" w:rsidRDefault="00596F5B" w:rsidP="00596F5B">
      <w:pPr>
        <w:spacing w:after="0" w:line="240" w:lineRule="auto"/>
      </w:pPr>
      <w:bookmarkStart w:id="0" w:name="_GoBack"/>
      <w:bookmarkEnd w:id="0"/>
      <w:r>
        <w:rPr>
          <w:rFonts w:ascii="Times New Roman" w:hAnsi="Times New Roman"/>
          <w:noProof/>
          <w:sz w:val="28"/>
          <w:szCs w:val="28"/>
        </w:rPr>
        <w:drawing>
          <wp:inline distT="0" distB="0" distL="0" distR="0" wp14:anchorId="491ABD9B" wp14:editId="3CF71233">
            <wp:extent cx="1454059" cy="742950"/>
            <wp:effectExtent l="0" t="0" r="0" b="0"/>
            <wp:docPr id="1" name="Picture 1" descr="cid:image001.png@01D2F18D.B8F19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18D.B8F19A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5497" cy="759013"/>
                    </a:xfrm>
                    <a:prstGeom prst="rect">
                      <a:avLst/>
                    </a:prstGeom>
                    <a:noFill/>
                    <a:ln>
                      <a:noFill/>
                    </a:ln>
                  </pic:spPr>
                </pic:pic>
              </a:graphicData>
            </a:graphic>
          </wp:inline>
        </w:drawing>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tblGrid>
      <w:tr w:rsidR="00596F5B" w:rsidTr="009A166B">
        <w:trPr>
          <w:trHeight w:val="11150"/>
        </w:trPr>
        <w:tc>
          <w:tcPr>
            <w:tcW w:w="4590" w:type="dxa"/>
          </w:tcPr>
          <w:p w:rsidR="00596F5B" w:rsidRDefault="00596F5B" w:rsidP="00596F5B">
            <w:pPr>
              <w:spacing w:after="0" w:line="240" w:lineRule="auto"/>
              <w:ind w:left="-23"/>
              <w:jc w:val="center"/>
              <w:rPr>
                <w:b/>
                <w:sz w:val="20"/>
                <w:szCs w:val="20"/>
              </w:rPr>
            </w:pPr>
            <w:r>
              <w:rPr>
                <w:b/>
                <w:sz w:val="20"/>
                <w:szCs w:val="20"/>
              </w:rPr>
              <w:t>CACFP Non-Pricing Child and Adult</w:t>
            </w:r>
          </w:p>
          <w:p w:rsidR="00596F5B" w:rsidRDefault="00596F5B" w:rsidP="00596F5B">
            <w:pPr>
              <w:spacing w:after="0" w:line="240" w:lineRule="auto"/>
              <w:ind w:left="-23"/>
              <w:jc w:val="center"/>
              <w:rPr>
                <w:b/>
                <w:sz w:val="16"/>
                <w:szCs w:val="16"/>
              </w:rPr>
            </w:pPr>
            <w:r>
              <w:rPr>
                <w:b/>
                <w:sz w:val="20"/>
                <w:szCs w:val="20"/>
              </w:rPr>
              <w:t>Day Care Centers</w:t>
            </w:r>
          </w:p>
          <w:p w:rsidR="00596F5B" w:rsidRDefault="00596F5B" w:rsidP="00596F5B">
            <w:pPr>
              <w:spacing w:after="0" w:line="240" w:lineRule="auto"/>
              <w:ind w:left="-23"/>
              <w:jc w:val="center"/>
              <w:rPr>
                <w:b/>
                <w:sz w:val="16"/>
                <w:szCs w:val="16"/>
              </w:rPr>
            </w:pPr>
          </w:p>
          <w:p w:rsidR="00596F5B" w:rsidRDefault="00596F5B" w:rsidP="00596F5B">
            <w:pPr>
              <w:spacing w:after="0" w:line="240" w:lineRule="auto"/>
              <w:ind w:left="-23"/>
              <w:rPr>
                <w:sz w:val="16"/>
                <w:szCs w:val="16"/>
              </w:rPr>
            </w:pPr>
            <w:r>
              <w:rPr>
                <w:b/>
                <w:sz w:val="16"/>
                <w:szCs w:val="16"/>
                <w:u w:val="single"/>
              </w:rPr>
              <w:t>Rooftop of VA CAP</w:t>
            </w:r>
            <w:r>
              <w:rPr>
                <w:sz w:val="16"/>
                <w:szCs w:val="16"/>
              </w:rPr>
              <w:t xml:space="preserve"> announces the sponsorship of the </w:t>
            </w:r>
            <w:r w:rsidRPr="00596F5B">
              <w:rPr>
                <w:b/>
                <w:sz w:val="16"/>
                <w:szCs w:val="16"/>
              </w:rPr>
              <w:t>Child and Adult Care Food Program (CACFP)</w:t>
            </w:r>
            <w:r>
              <w:rPr>
                <w:b/>
                <w:sz w:val="16"/>
                <w:szCs w:val="16"/>
              </w:rPr>
              <w:t>.</w:t>
            </w:r>
            <w:r w:rsidR="00B35514">
              <w:rPr>
                <w:sz w:val="16"/>
                <w:szCs w:val="16"/>
              </w:rPr>
              <w:t xml:space="preserve">  The same meals will be available at no spate charge to all participants at each CACFP facility without regard to race, color, sex, national origin, age, disability or sexual orientation.  To file a complaint complete the USDA Program Discrimination Complaint Form. AD-3027, found online at </w:t>
            </w:r>
            <w:hyperlink r:id="rId6" w:history="1">
              <w:r w:rsidR="00B35514" w:rsidRPr="00171FC3">
                <w:rPr>
                  <w:rStyle w:val="Hyperlink"/>
                  <w:sz w:val="16"/>
                  <w:szCs w:val="16"/>
                </w:rPr>
                <w:t>http://www.ascr.usda.gov/complaint_filing_cust.html</w:t>
              </w:r>
            </w:hyperlink>
            <w:r w:rsidR="00B35514">
              <w:rPr>
                <w:sz w:val="16"/>
                <w:szCs w:val="16"/>
              </w:rPr>
              <w:t>, or at any USDA office or write a letter addressed to USDA and provide in the letter all of the information requested in the form.  To request a copy of the complaint form, call (866) 632-9992.</w:t>
            </w:r>
          </w:p>
          <w:p w:rsidR="00B35514" w:rsidRDefault="00B35514" w:rsidP="00596F5B">
            <w:pPr>
              <w:spacing w:after="0" w:line="240" w:lineRule="auto"/>
              <w:ind w:left="-23"/>
              <w:rPr>
                <w:sz w:val="16"/>
                <w:szCs w:val="16"/>
              </w:rPr>
            </w:pPr>
          </w:p>
          <w:p w:rsidR="00B35514" w:rsidRDefault="00B35514" w:rsidP="00B35514">
            <w:pPr>
              <w:spacing w:after="0" w:line="240" w:lineRule="auto"/>
              <w:ind w:left="-23"/>
              <w:jc w:val="center"/>
              <w:rPr>
                <w:sz w:val="16"/>
                <w:szCs w:val="16"/>
              </w:rPr>
            </w:pPr>
            <w:r>
              <w:rPr>
                <w:sz w:val="16"/>
                <w:szCs w:val="16"/>
              </w:rPr>
              <w:t>Submit your completed form or letter to USDA by mail:</w:t>
            </w:r>
          </w:p>
          <w:p w:rsidR="00B35514" w:rsidRDefault="00B35514" w:rsidP="00B35514">
            <w:pPr>
              <w:spacing w:after="0" w:line="240" w:lineRule="auto"/>
              <w:ind w:left="-23"/>
              <w:jc w:val="center"/>
              <w:rPr>
                <w:sz w:val="16"/>
                <w:szCs w:val="16"/>
              </w:rPr>
            </w:pPr>
            <w:r>
              <w:rPr>
                <w:sz w:val="16"/>
                <w:szCs w:val="16"/>
              </w:rPr>
              <w:t>US Department of Agriculture</w:t>
            </w:r>
          </w:p>
          <w:p w:rsidR="00B35514" w:rsidRDefault="00B35514" w:rsidP="00B35514">
            <w:pPr>
              <w:spacing w:after="0" w:line="240" w:lineRule="auto"/>
              <w:ind w:left="-23"/>
              <w:jc w:val="center"/>
              <w:rPr>
                <w:sz w:val="16"/>
                <w:szCs w:val="16"/>
              </w:rPr>
            </w:pPr>
            <w:r>
              <w:rPr>
                <w:sz w:val="16"/>
                <w:szCs w:val="16"/>
              </w:rPr>
              <w:t>Office of the Assistant Secretary for Civil Rights</w:t>
            </w:r>
          </w:p>
          <w:p w:rsidR="00B35514" w:rsidRDefault="00B35514" w:rsidP="00B35514">
            <w:pPr>
              <w:spacing w:after="0" w:line="240" w:lineRule="auto"/>
              <w:ind w:left="-23"/>
              <w:jc w:val="center"/>
              <w:rPr>
                <w:sz w:val="16"/>
                <w:szCs w:val="16"/>
              </w:rPr>
            </w:pPr>
            <w:r>
              <w:rPr>
                <w:sz w:val="16"/>
                <w:szCs w:val="16"/>
              </w:rPr>
              <w:t>1400 Independence Avenue, SW</w:t>
            </w:r>
          </w:p>
          <w:p w:rsidR="00B35514" w:rsidRDefault="00B35514" w:rsidP="00B35514">
            <w:pPr>
              <w:spacing w:after="0" w:line="240" w:lineRule="auto"/>
              <w:ind w:left="-23"/>
              <w:jc w:val="center"/>
              <w:rPr>
                <w:sz w:val="16"/>
                <w:szCs w:val="16"/>
              </w:rPr>
            </w:pPr>
            <w:r>
              <w:rPr>
                <w:sz w:val="16"/>
                <w:szCs w:val="16"/>
              </w:rPr>
              <w:t>Washington, DC  20250-9410</w:t>
            </w:r>
          </w:p>
          <w:p w:rsidR="00B35514" w:rsidRDefault="00B35514" w:rsidP="00B35514">
            <w:pPr>
              <w:spacing w:after="0" w:line="240" w:lineRule="auto"/>
              <w:ind w:left="-23"/>
              <w:jc w:val="center"/>
              <w:rPr>
                <w:sz w:val="16"/>
                <w:szCs w:val="16"/>
              </w:rPr>
            </w:pPr>
            <w:r>
              <w:rPr>
                <w:sz w:val="16"/>
                <w:szCs w:val="16"/>
              </w:rPr>
              <w:t>Fax:  (202) 690-7442 or</w:t>
            </w:r>
          </w:p>
          <w:p w:rsidR="00B35514" w:rsidRDefault="00B35514" w:rsidP="00B35514">
            <w:pPr>
              <w:spacing w:after="0" w:line="240" w:lineRule="auto"/>
              <w:ind w:left="-23"/>
              <w:jc w:val="center"/>
              <w:rPr>
                <w:sz w:val="16"/>
                <w:szCs w:val="16"/>
              </w:rPr>
            </w:pPr>
            <w:r>
              <w:rPr>
                <w:sz w:val="16"/>
                <w:szCs w:val="16"/>
              </w:rPr>
              <w:t xml:space="preserve">Email:  </w:t>
            </w:r>
            <w:hyperlink r:id="rId7" w:history="1">
              <w:r w:rsidRPr="00171FC3">
                <w:rPr>
                  <w:rStyle w:val="Hyperlink"/>
                  <w:sz w:val="16"/>
                  <w:szCs w:val="16"/>
                </w:rPr>
                <w:t>program.intake@usda.gov</w:t>
              </w:r>
            </w:hyperlink>
          </w:p>
          <w:p w:rsidR="00B35514" w:rsidRDefault="00B35514" w:rsidP="00B35514">
            <w:pPr>
              <w:spacing w:after="0" w:line="240" w:lineRule="auto"/>
              <w:ind w:left="-23"/>
              <w:jc w:val="center"/>
              <w:rPr>
                <w:sz w:val="16"/>
                <w:szCs w:val="16"/>
              </w:rPr>
            </w:pPr>
          </w:p>
          <w:p w:rsidR="00B35514" w:rsidRDefault="00B35514" w:rsidP="00B35514">
            <w:pPr>
              <w:spacing w:after="0" w:line="240" w:lineRule="auto"/>
              <w:ind w:left="-23"/>
              <w:rPr>
                <w:sz w:val="16"/>
                <w:szCs w:val="16"/>
              </w:rPr>
            </w:pPr>
            <w:r>
              <w:rPr>
                <w:sz w:val="16"/>
                <w:szCs w:val="16"/>
              </w:rPr>
              <w:t>The center will receive free or reduced price meal reimbursement based on the following income scales effective from July 1, 2017 to June 30, 2018.</w:t>
            </w:r>
          </w:p>
          <w:p w:rsidR="00B35514" w:rsidRDefault="00B35514" w:rsidP="00B35514">
            <w:pPr>
              <w:spacing w:after="0" w:line="240" w:lineRule="auto"/>
              <w:ind w:left="-23"/>
              <w:rPr>
                <w:sz w:val="16"/>
                <w:szCs w:val="16"/>
              </w:rPr>
            </w:pPr>
          </w:p>
          <w:tbl>
            <w:tblPr>
              <w:tblpPr w:leftFromText="180" w:rightFromText="180" w:vertAnchor="text" w:horzAnchor="page" w:tblpX="69" w:tblpY="69"/>
              <w:tblW w:w="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870"/>
            </w:tblGrid>
            <w:tr w:rsidR="006F71D7" w:rsidTr="006F71D7">
              <w:trPr>
                <w:trHeight w:val="104"/>
              </w:trPr>
              <w:tc>
                <w:tcPr>
                  <w:tcW w:w="1525" w:type="dxa"/>
                </w:tcPr>
                <w:p w:rsidR="006F71D7" w:rsidRPr="006F71D7" w:rsidRDefault="006F71D7" w:rsidP="006F71D7">
                  <w:pPr>
                    <w:spacing w:after="0" w:line="240" w:lineRule="auto"/>
                    <w:jc w:val="center"/>
                    <w:rPr>
                      <w:b/>
                      <w:sz w:val="16"/>
                      <w:szCs w:val="16"/>
                    </w:rPr>
                  </w:pPr>
                  <w:r w:rsidRPr="006F71D7">
                    <w:rPr>
                      <w:b/>
                      <w:sz w:val="16"/>
                      <w:szCs w:val="16"/>
                    </w:rPr>
                    <w:t>Family Size</w:t>
                  </w:r>
                </w:p>
              </w:tc>
              <w:tc>
                <w:tcPr>
                  <w:tcW w:w="2870" w:type="dxa"/>
                </w:tcPr>
                <w:p w:rsidR="006F71D7" w:rsidRPr="006F71D7" w:rsidRDefault="006F71D7" w:rsidP="006F71D7">
                  <w:pPr>
                    <w:spacing w:after="0" w:line="240" w:lineRule="auto"/>
                    <w:jc w:val="center"/>
                    <w:rPr>
                      <w:b/>
                      <w:sz w:val="16"/>
                      <w:szCs w:val="16"/>
                    </w:rPr>
                  </w:pPr>
                  <w:r w:rsidRPr="006F71D7">
                    <w:rPr>
                      <w:b/>
                      <w:sz w:val="16"/>
                      <w:szCs w:val="16"/>
                    </w:rPr>
                    <w:t>Eligibility Scale for Reduced Price Meals</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1</w:t>
                  </w:r>
                </w:p>
              </w:tc>
              <w:tc>
                <w:tcPr>
                  <w:tcW w:w="2870" w:type="dxa"/>
                </w:tcPr>
                <w:p w:rsidR="006F71D7" w:rsidRDefault="006F71D7" w:rsidP="006F71D7">
                  <w:pPr>
                    <w:spacing w:after="0" w:line="240" w:lineRule="auto"/>
                    <w:jc w:val="center"/>
                    <w:rPr>
                      <w:sz w:val="16"/>
                      <w:szCs w:val="16"/>
                    </w:rPr>
                  </w:pPr>
                  <w:r>
                    <w:rPr>
                      <w:sz w:val="16"/>
                      <w:szCs w:val="16"/>
                    </w:rPr>
                    <w:t>$22,311</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2</w:t>
                  </w:r>
                </w:p>
              </w:tc>
              <w:tc>
                <w:tcPr>
                  <w:tcW w:w="2870" w:type="dxa"/>
                </w:tcPr>
                <w:p w:rsidR="006F71D7" w:rsidRDefault="006F71D7" w:rsidP="006F71D7">
                  <w:pPr>
                    <w:spacing w:after="0" w:line="240" w:lineRule="auto"/>
                    <w:jc w:val="center"/>
                    <w:rPr>
                      <w:sz w:val="16"/>
                      <w:szCs w:val="16"/>
                    </w:rPr>
                  </w:pPr>
                  <w:r>
                    <w:rPr>
                      <w:sz w:val="16"/>
                      <w:szCs w:val="16"/>
                    </w:rPr>
                    <w:t>$30,044</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3</w:t>
                  </w:r>
                </w:p>
              </w:tc>
              <w:tc>
                <w:tcPr>
                  <w:tcW w:w="2870" w:type="dxa"/>
                </w:tcPr>
                <w:p w:rsidR="006F71D7" w:rsidRDefault="006F71D7" w:rsidP="006F71D7">
                  <w:pPr>
                    <w:spacing w:after="0" w:line="240" w:lineRule="auto"/>
                    <w:jc w:val="center"/>
                    <w:rPr>
                      <w:sz w:val="16"/>
                      <w:szCs w:val="16"/>
                    </w:rPr>
                  </w:pPr>
                  <w:r>
                    <w:rPr>
                      <w:sz w:val="16"/>
                      <w:szCs w:val="16"/>
                    </w:rPr>
                    <w:t>$37,777</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4</w:t>
                  </w:r>
                </w:p>
              </w:tc>
              <w:tc>
                <w:tcPr>
                  <w:tcW w:w="2870" w:type="dxa"/>
                </w:tcPr>
                <w:p w:rsidR="006F71D7" w:rsidRDefault="006F71D7" w:rsidP="006F71D7">
                  <w:pPr>
                    <w:spacing w:after="0" w:line="240" w:lineRule="auto"/>
                    <w:jc w:val="center"/>
                    <w:rPr>
                      <w:sz w:val="16"/>
                      <w:szCs w:val="16"/>
                    </w:rPr>
                  </w:pPr>
                  <w:r>
                    <w:rPr>
                      <w:sz w:val="16"/>
                      <w:szCs w:val="16"/>
                    </w:rPr>
                    <w:t>$45,510</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5</w:t>
                  </w:r>
                </w:p>
              </w:tc>
              <w:tc>
                <w:tcPr>
                  <w:tcW w:w="2870" w:type="dxa"/>
                </w:tcPr>
                <w:p w:rsidR="006F71D7" w:rsidRDefault="006F71D7" w:rsidP="006F71D7">
                  <w:pPr>
                    <w:spacing w:after="0" w:line="240" w:lineRule="auto"/>
                    <w:jc w:val="center"/>
                    <w:rPr>
                      <w:sz w:val="16"/>
                      <w:szCs w:val="16"/>
                    </w:rPr>
                  </w:pPr>
                  <w:r>
                    <w:rPr>
                      <w:sz w:val="16"/>
                      <w:szCs w:val="16"/>
                    </w:rPr>
                    <w:t>$53,243</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6</w:t>
                  </w:r>
                </w:p>
              </w:tc>
              <w:tc>
                <w:tcPr>
                  <w:tcW w:w="2870" w:type="dxa"/>
                </w:tcPr>
                <w:p w:rsidR="006F71D7" w:rsidRDefault="006F71D7" w:rsidP="006F71D7">
                  <w:pPr>
                    <w:spacing w:after="0" w:line="240" w:lineRule="auto"/>
                    <w:jc w:val="center"/>
                    <w:rPr>
                      <w:sz w:val="16"/>
                      <w:szCs w:val="16"/>
                    </w:rPr>
                  </w:pPr>
                  <w:r>
                    <w:rPr>
                      <w:sz w:val="16"/>
                      <w:szCs w:val="16"/>
                    </w:rPr>
                    <w:t>$60,976</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7</w:t>
                  </w:r>
                </w:p>
              </w:tc>
              <w:tc>
                <w:tcPr>
                  <w:tcW w:w="2870" w:type="dxa"/>
                </w:tcPr>
                <w:p w:rsidR="006F71D7" w:rsidRDefault="006F71D7" w:rsidP="006F71D7">
                  <w:pPr>
                    <w:spacing w:after="0" w:line="240" w:lineRule="auto"/>
                    <w:jc w:val="center"/>
                    <w:rPr>
                      <w:sz w:val="16"/>
                      <w:szCs w:val="16"/>
                    </w:rPr>
                  </w:pPr>
                  <w:r>
                    <w:rPr>
                      <w:sz w:val="16"/>
                      <w:szCs w:val="16"/>
                    </w:rPr>
                    <w:t>$68,709</w:t>
                  </w:r>
                </w:p>
              </w:tc>
            </w:tr>
            <w:tr w:rsidR="006F71D7" w:rsidTr="006F71D7">
              <w:trPr>
                <w:trHeight w:val="101"/>
              </w:trPr>
              <w:tc>
                <w:tcPr>
                  <w:tcW w:w="1525" w:type="dxa"/>
                </w:tcPr>
                <w:p w:rsidR="006F71D7" w:rsidRDefault="006F71D7" w:rsidP="006F71D7">
                  <w:pPr>
                    <w:spacing w:after="0" w:line="240" w:lineRule="auto"/>
                    <w:jc w:val="center"/>
                    <w:rPr>
                      <w:sz w:val="16"/>
                      <w:szCs w:val="16"/>
                    </w:rPr>
                  </w:pPr>
                  <w:r>
                    <w:rPr>
                      <w:sz w:val="16"/>
                      <w:szCs w:val="16"/>
                    </w:rPr>
                    <w:t>8</w:t>
                  </w:r>
                </w:p>
              </w:tc>
              <w:tc>
                <w:tcPr>
                  <w:tcW w:w="2870" w:type="dxa"/>
                </w:tcPr>
                <w:p w:rsidR="006F71D7" w:rsidRDefault="006F71D7" w:rsidP="006F71D7">
                  <w:pPr>
                    <w:spacing w:after="0" w:line="240" w:lineRule="auto"/>
                    <w:jc w:val="center"/>
                    <w:rPr>
                      <w:sz w:val="16"/>
                      <w:szCs w:val="16"/>
                    </w:rPr>
                  </w:pPr>
                  <w:r>
                    <w:rPr>
                      <w:sz w:val="16"/>
                      <w:szCs w:val="16"/>
                    </w:rPr>
                    <w:t>$76,442</w:t>
                  </w:r>
                </w:p>
              </w:tc>
            </w:tr>
            <w:tr w:rsidR="006F71D7" w:rsidTr="006F71D7">
              <w:trPr>
                <w:trHeight w:val="101"/>
              </w:trPr>
              <w:tc>
                <w:tcPr>
                  <w:tcW w:w="1525" w:type="dxa"/>
                </w:tcPr>
                <w:p w:rsidR="006F71D7" w:rsidRPr="006F71D7" w:rsidRDefault="006F71D7" w:rsidP="006F71D7">
                  <w:pPr>
                    <w:spacing w:after="0" w:line="240" w:lineRule="auto"/>
                    <w:jc w:val="center"/>
                    <w:rPr>
                      <w:sz w:val="12"/>
                      <w:szCs w:val="12"/>
                    </w:rPr>
                  </w:pPr>
                  <w:r>
                    <w:rPr>
                      <w:sz w:val="12"/>
                      <w:szCs w:val="12"/>
                    </w:rPr>
                    <w:t>Each additional person</w:t>
                  </w:r>
                </w:p>
              </w:tc>
              <w:tc>
                <w:tcPr>
                  <w:tcW w:w="2870" w:type="dxa"/>
                </w:tcPr>
                <w:p w:rsidR="006F71D7" w:rsidRDefault="006F71D7" w:rsidP="006F71D7">
                  <w:pPr>
                    <w:spacing w:after="0" w:line="240" w:lineRule="auto"/>
                    <w:jc w:val="center"/>
                    <w:rPr>
                      <w:sz w:val="16"/>
                      <w:szCs w:val="16"/>
                    </w:rPr>
                  </w:pPr>
                  <w:r>
                    <w:rPr>
                      <w:sz w:val="16"/>
                      <w:szCs w:val="16"/>
                    </w:rPr>
                    <w:t>$7,696</w:t>
                  </w:r>
                </w:p>
              </w:tc>
            </w:tr>
          </w:tbl>
          <w:p w:rsidR="00B35514" w:rsidRDefault="00B35514" w:rsidP="00B35514">
            <w:pPr>
              <w:spacing w:after="0" w:line="240" w:lineRule="auto"/>
              <w:ind w:left="-23"/>
              <w:rPr>
                <w:sz w:val="16"/>
                <w:szCs w:val="16"/>
              </w:rPr>
            </w:pPr>
          </w:p>
          <w:p w:rsidR="006F71D7" w:rsidRDefault="006F71D7" w:rsidP="00B35514">
            <w:pPr>
              <w:spacing w:after="0" w:line="240" w:lineRule="auto"/>
              <w:ind w:left="-23"/>
              <w:rPr>
                <w:sz w:val="16"/>
                <w:szCs w:val="16"/>
              </w:rPr>
            </w:pPr>
            <w:r>
              <w:rPr>
                <w:sz w:val="16"/>
                <w:szCs w:val="16"/>
              </w:rPr>
              <w:t>Meals will be provided at these centers:</w:t>
            </w:r>
          </w:p>
          <w:p w:rsidR="006F71D7" w:rsidRPr="009A166B" w:rsidRDefault="006F71D7" w:rsidP="00B35514">
            <w:pPr>
              <w:spacing w:after="0" w:line="240" w:lineRule="auto"/>
              <w:ind w:left="-23"/>
              <w:rPr>
                <w:b/>
                <w:sz w:val="14"/>
                <w:szCs w:val="14"/>
              </w:rPr>
            </w:pPr>
            <w:r w:rsidRPr="009A166B">
              <w:rPr>
                <w:b/>
                <w:sz w:val="14"/>
                <w:szCs w:val="14"/>
              </w:rPr>
              <w:t xml:space="preserve">Galax Head Start; 125 </w:t>
            </w:r>
            <w:proofErr w:type="spellStart"/>
            <w:r w:rsidRPr="009A166B">
              <w:rPr>
                <w:b/>
                <w:sz w:val="14"/>
                <w:szCs w:val="14"/>
              </w:rPr>
              <w:t>Rosenwald</w:t>
            </w:r>
            <w:proofErr w:type="spellEnd"/>
            <w:r w:rsidRPr="009A166B">
              <w:rPr>
                <w:b/>
                <w:sz w:val="14"/>
                <w:szCs w:val="14"/>
              </w:rPr>
              <w:t xml:space="preserve"> Felts Dr., Galax, VA  24333</w:t>
            </w:r>
          </w:p>
          <w:p w:rsidR="006F71D7" w:rsidRPr="009A166B" w:rsidRDefault="006F71D7" w:rsidP="00B35514">
            <w:pPr>
              <w:spacing w:after="0" w:line="240" w:lineRule="auto"/>
              <w:ind w:left="-23"/>
              <w:rPr>
                <w:b/>
                <w:sz w:val="14"/>
                <w:szCs w:val="14"/>
              </w:rPr>
            </w:pPr>
            <w:r w:rsidRPr="009A166B">
              <w:rPr>
                <w:b/>
                <w:sz w:val="14"/>
                <w:szCs w:val="14"/>
              </w:rPr>
              <w:t>Galax Early Head Start; 103 Hospital Dr., Galax, VA  24333</w:t>
            </w:r>
          </w:p>
          <w:p w:rsidR="006F71D7" w:rsidRPr="009A166B" w:rsidRDefault="006F71D7" w:rsidP="00B35514">
            <w:pPr>
              <w:spacing w:after="0" w:line="240" w:lineRule="auto"/>
              <w:ind w:left="-23"/>
              <w:rPr>
                <w:b/>
                <w:sz w:val="14"/>
                <w:szCs w:val="14"/>
              </w:rPr>
            </w:pPr>
            <w:r w:rsidRPr="009A166B">
              <w:rPr>
                <w:b/>
                <w:sz w:val="14"/>
                <w:szCs w:val="14"/>
              </w:rPr>
              <w:t>Independence Head Start; 915 E. Main St., Independence, VA 24348</w:t>
            </w:r>
          </w:p>
          <w:p w:rsidR="006F71D7" w:rsidRPr="009A166B" w:rsidRDefault="006F71D7" w:rsidP="00B35514">
            <w:pPr>
              <w:spacing w:after="0" w:line="240" w:lineRule="auto"/>
              <w:ind w:left="-23"/>
              <w:rPr>
                <w:b/>
                <w:sz w:val="14"/>
                <w:szCs w:val="14"/>
              </w:rPr>
            </w:pPr>
            <w:r w:rsidRPr="009A166B">
              <w:rPr>
                <w:b/>
                <w:sz w:val="14"/>
                <w:szCs w:val="14"/>
              </w:rPr>
              <w:t>Independence EHS; 110 Blue Devil Lane; Independence, VA  24348</w:t>
            </w:r>
          </w:p>
          <w:p w:rsidR="006F71D7" w:rsidRPr="009A166B" w:rsidRDefault="006F71D7" w:rsidP="00B35514">
            <w:pPr>
              <w:spacing w:after="0" w:line="240" w:lineRule="auto"/>
              <w:ind w:left="-23"/>
              <w:rPr>
                <w:b/>
                <w:sz w:val="14"/>
                <w:szCs w:val="14"/>
              </w:rPr>
            </w:pPr>
            <w:r w:rsidRPr="009A166B">
              <w:rPr>
                <w:b/>
                <w:sz w:val="14"/>
                <w:szCs w:val="14"/>
              </w:rPr>
              <w:t>Cana Head Start; 231 Flower Gap Road; Cana, VA  24317</w:t>
            </w:r>
          </w:p>
          <w:p w:rsidR="006F71D7" w:rsidRPr="009A166B" w:rsidRDefault="006F71D7" w:rsidP="00B35514">
            <w:pPr>
              <w:spacing w:after="0" w:line="240" w:lineRule="auto"/>
              <w:ind w:left="-23"/>
              <w:rPr>
                <w:b/>
                <w:sz w:val="14"/>
                <w:szCs w:val="14"/>
              </w:rPr>
            </w:pPr>
            <w:r w:rsidRPr="009A166B">
              <w:rPr>
                <w:b/>
                <w:sz w:val="14"/>
                <w:szCs w:val="14"/>
              </w:rPr>
              <w:t>Hillsville Head Start &amp; EHS; 205 Oak St.; Hillsville, VA  24343</w:t>
            </w:r>
          </w:p>
          <w:p w:rsidR="006F71D7" w:rsidRPr="009A166B" w:rsidRDefault="006F71D7" w:rsidP="00B35514">
            <w:pPr>
              <w:spacing w:after="0" w:line="240" w:lineRule="auto"/>
              <w:ind w:left="-23"/>
              <w:rPr>
                <w:b/>
                <w:sz w:val="14"/>
                <w:szCs w:val="14"/>
              </w:rPr>
            </w:pPr>
            <w:r w:rsidRPr="009A166B">
              <w:rPr>
                <w:b/>
                <w:sz w:val="14"/>
                <w:szCs w:val="14"/>
              </w:rPr>
              <w:t>Independence Home Based; 110 Blue Devil Lane; Independence, VA 24348</w:t>
            </w:r>
          </w:p>
          <w:p w:rsidR="006F71D7" w:rsidRPr="009A166B" w:rsidRDefault="006F71D7" w:rsidP="00B35514">
            <w:pPr>
              <w:spacing w:after="0" w:line="240" w:lineRule="auto"/>
              <w:ind w:left="-23"/>
              <w:rPr>
                <w:b/>
                <w:sz w:val="14"/>
                <w:szCs w:val="14"/>
              </w:rPr>
            </w:pPr>
            <w:r w:rsidRPr="009A166B">
              <w:rPr>
                <w:b/>
                <w:sz w:val="14"/>
                <w:szCs w:val="14"/>
              </w:rPr>
              <w:t>Walls Home Based; 6459 Troutdale Highway; Independence, VA  24348</w:t>
            </w:r>
          </w:p>
          <w:p w:rsidR="009A166B" w:rsidRPr="009A166B" w:rsidRDefault="009A166B" w:rsidP="00B35514">
            <w:pPr>
              <w:spacing w:after="0" w:line="240" w:lineRule="auto"/>
              <w:ind w:left="-23"/>
              <w:rPr>
                <w:b/>
                <w:sz w:val="14"/>
                <w:szCs w:val="14"/>
              </w:rPr>
            </w:pPr>
          </w:p>
          <w:p w:rsidR="009A166B" w:rsidRDefault="009A166B" w:rsidP="00B35514">
            <w:pPr>
              <w:spacing w:after="0" w:line="240" w:lineRule="auto"/>
              <w:ind w:left="-23"/>
              <w:rPr>
                <w:sz w:val="16"/>
                <w:szCs w:val="16"/>
              </w:rPr>
            </w:pPr>
            <w:r>
              <w:rPr>
                <w:sz w:val="16"/>
                <w:szCs w:val="16"/>
              </w:rPr>
              <w:t>For further information, please contact:</w:t>
            </w:r>
          </w:p>
          <w:p w:rsidR="009A166B" w:rsidRDefault="009A166B" w:rsidP="009A166B">
            <w:pPr>
              <w:spacing w:after="0" w:line="240" w:lineRule="auto"/>
              <w:ind w:left="-23"/>
              <w:jc w:val="center"/>
              <w:rPr>
                <w:sz w:val="16"/>
                <w:szCs w:val="16"/>
              </w:rPr>
            </w:pPr>
            <w:r>
              <w:rPr>
                <w:sz w:val="16"/>
                <w:szCs w:val="16"/>
              </w:rPr>
              <w:t>Donna Carico, Interim Health Specialist @ (276)236-7131, ext. 250</w:t>
            </w:r>
          </w:p>
          <w:p w:rsidR="009A166B" w:rsidRDefault="009A166B" w:rsidP="009A166B">
            <w:pPr>
              <w:spacing w:after="0" w:line="240" w:lineRule="auto"/>
              <w:ind w:left="-23"/>
              <w:jc w:val="center"/>
              <w:rPr>
                <w:sz w:val="16"/>
                <w:szCs w:val="16"/>
              </w:rPr>
            </w:pPr>
          </w:p>
          <w:p w:rsidR="009A166B" w:rsidRDefault="009A166B" w:rsidP="009A166B">
            <w:pPr>
              <w:spacing w:after="0" w:line="240" w:lineRule="auto"/>
              <w:ind w:left="-23"/>
              <w:rPr>
                <w:b/>
                <w:sz w:val="16"/>
                <w:szCs w:val="16"/>
              </w:rPr>
            </w:pPr>
            <w:r>
              <w:rPr>
                <w:b/>
                <w:sz w:val="16"/>
                <w:szCs w:val="16"/>
              </w:rPr>
              <w:t>You may also contact the Virginia CACFP State Agency at the Virginia Department of Health Division of Community Nutrition for more information by calling:  1-877-618-7282 or emailing</w:t>
            </w:r>
          </w:p>
          <w:p w:rsidR="009A166B" w:rsidRPr="009A166B" w:rsidRDefault="009A166B" w:rsidP="009A166B">
            <w:pPr>
              <w:spacing w:after="0" w:line="240" w:lineRule="auto"/>
              <w:ind w:left="-23"/>
              <w:rPr>
                <w:b/>
                <w:sz w:val="16"/>
                <w:szCs w:val="16"/>
              </w:rPr>
            </w:pPr>
            <w:r>
              <w:rPr>
                <w:b/>
                <w:sz w:val="16"/>
                <w:szCs w:val="16"/>
              </w:rPr>
              <w:t>CACFP@vdh.virginia.gov</w:t>
            </w:r>
          </w:p>
          <w:p w:rsidR="006F71D7" w:rsidRPr="00596F5B" w:rsidRDefault="006F71D7" w:rsidP="00B35514">
            <w:pPr>
              <w:spacing w:after="0" w:line="240" w:lineRule="auto"/>
              <w:ind w:left="-23"/>
              <w:rPr>
                <w:sz w:val="16"/>
                <w:szCs w:val="16"/>
              </w:rPr>
            </w:pPr>
          </w:p>
          <w:p w:rsidR="00596F5B" w:rsidRDefault="00596F5B" w:rsidP="00596F5B">
            <w:pPr>
              <w:spacing w:after="0" w:line="240" w:lineRule="auto"/>
              <w:ind w:left="-23"/>
              <w:rPr>
                <w:b/>
                <w:sz w:val="16"/>
                <w:szCs w:val="16"/>
              </w:rPr>
            </w:pPr>
          </w:p>
        </w:tc>
      </w:tr>
    </w:tbl>
    <w:p w:rsidR="00596F5B" w:rsidRPr="00596F5B" w:rsidRDefault="00596F5B" w:rsidP="00596F5B">
      <w:pPr>
        <w:spacing w:after="0" w:line="240" w:lineRule="auto"/>
        <w:rPr>
          <w:b/>
        </w:rPr>
      </w:pPr>
    </w:p>
    <w:sectPr w:rsidR="00596F5B" w:rsidRPr="00596F5B" w:rsidSect="00596F5B">
      <w:pgSz w:w="12240" w:h="15840"/>
      <w:pgMar w:top="288" w:right="792"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5B"/>
    <w:rsid w:val="0052579B"/>
    <w:rsid w:val="00596F5B"/>
    <w:rsid w:val="00681D9B"/>
    <w:rsid w:val="006F71D7"/>
    <w:rsid w:val="009A166B"/>
    <w:rsid w:val="00B3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15402-9470-4484-AEE2-5C13D1EB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image" Target="cid:image001.png@01D2F18D.B8F19A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Liddle</dc:creator>
  <cp:keywords/>
  <dc:description/>
  <cp:lastModifiedBy>Geraldine Baker</cp:lastModifiedBy>
  <cp:revision>2</cp:revision>
  <dcterms:created xsi:type="dcterms:W3CDTF">2017-07-13T18:17:00Z</dcterms:created>
  <dcterms:modified xsi:type="dcterms:W3CDTF">2017-07-13T18:17:00Z</dcterms:modified>
</cp:coreProperties>
</file>